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חג הסיגד · אתר לכיתה – יסודי וחט״ב</w:t>
            </w:r>
          </w:p>
          <w:p>
            <w:pPr>
              <w:bidi/>
              <w:jc w:val="right"/>
            </w:pPr>
            <w:r>
              <w:rPr>
                <w:rFonts w:ascii="Arial" w:hAnsi="Arial" w:cs="Arial" w:eastAsia="Arial"/>
                <w:lang w:val="he-IL" w:bidi="he-IL"/>
                <w:b/>
                <w:color w:val="3C1361"/>
                <w:sz w:val="32"/>
                <w:rtl/>
                <w:szCs w:val="32"/>
                <w:bCs/>
              </w:rPr>
              <w:t>דף תרגול: קלפי דיון – חג הסיגד</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מבנה הדיון הקבוצתי ואת התפקידים השונים</w:t>
      </w:r>
    </w:p>
    <w:p>
      <w:pPr>
        <w:bidi/>
        <w:spacing w:after="80"/>
        <w:jc w:val="right"/>
      </w:pPr>
      <w:r>
        <w:rPr>
          <w:rFonts w:ascii="Arial" w:hAnsi="Arial" w:cs="Arial" w:eastAsia="Arial"/>
          <w:lang w:val="he-IL" w:bidi="he-IL"/>
          <w:sz w:val="22"/>
          <w:rtl/>
          <w:szCs w:val="22"/>
        </w:rPr>
        <w:t>• לתרגל ניסוח טיעונים בעזרת פותחי משפט</w:t>
      </w:r>
    </w:p>
    <w:p>
      <w:pPr>
        <w:bidi/>
        <w:spacing w:after="80"/>
        <w:jc w:val="right"/>
      </w:pPr>
      <w:r>
        <w:rPr>
          <w:rFonts w:ascii="Arial" w:hAnsi="Arial" w:cs="Arial" w:eastAsia="Arial"/>
          <w:lang w:val="he-IL" w:bidi="he-IL"/>
          <w:sz w:val="22"/>
          <w:rtl/>
          <w:szCs w:val="22"/>
        </w:rPr>
        <w:t>• לחשוב על יתרונות וחסרים של מקורות מידע שונים</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הבנת מבנה הדיון</w:t>
      </w:r>
    </w:p>
    <w:p>
      <w:pPr>
        <w:bidi/>
        <w:spacing w:after="40"/>
        <w:jc w:val="right"/>
      </w:pPr>
      <w:r>
        <w:rPr>
          <w:rFonts w:ascii="Arial" w:hAnsi="Arial" w:cs="Arial" w:eastAsia="Arial"/>
          <w:lang w:val="he-IL" w:bidi="he-IL"/>
          <w:sz w:val="22"/>
          <w:rtl/>
          <w:szCs w:val="22"/>
        </w:rPr>
        <w:t>1. ב – 4</w:t>
      </w:r>
    </w:p>
    <w:p>
      <w:pPr>
        <w:bidi/>
        <w:spacing w:after="40"/>
        <w:jc w:val="right"/>
      </w:pPr>
      <w:r>
        <w:rPr>
          <w:rFonts w:ascii="Arial" w:hAnsi="Arial" w:cs="Arial" w:eastAsia="Arial"/>
          <w:lang w:val="he-IL" w:bidi="he-IL"/>
          <w:sz w:val="22"/>
          <w:rtl/>
          <w:szCs w:val="22"/>
        </w:rPr>
        <w:t>2. ב – דקה וחצי</w:t>
      </w:r>
    </w:p>
    <w:p>
      <w:pPr>
        <w:bidi/>
        <w:spacing w:after="40"/>
        <w:jc w:val="right"/>
      </w:pPr>
      <w:r>
        <w:rPr>
          <w:rFonts w:ascii="Arial" w:hAnsi="Arial" w:cs="Arial" w:eastAsia="Arial"/>
          <w:lang w:val="he-IL" w:bidi="he-IL"/>
          <w:sz w:val="22"/>
          <w:rtl/>
          <w:szCs w:val="22"/>
        </w:rPr>
        <w:t>3. ב – לשאול שאלות על הטיעונים</w:t>
      </w:r>
    </w:p>
    <w:p>
      <w:pPr>
        <w:bidi/>
        <w:spacing w:after="40"/>
        <w:jc w:val="right"/>
      </w:pPr>
      <w:r>
        <w:rPr>
          <w:rFonts w:ascii="Arial" w:hAnsi="Arial" w:cs="Arial" w:eastAsia="Arial"/>
          <w:lang w:val="he-IL" w:bidi="he-IL"/>
          <w:sz w:val="22"/>
          <w:rtl/>
          <w:szCs w:val="22"/>
        </w:rPr>
        <w:t>4. ב – עדיף ללמוד על חג משיחה עם אדם מאשר מסרטון</w:t>
      </w:r>
    </w:p>
    <w:p>
      <w:pPr>
        <w:bidi/>
        <w:spacing w:after="40"/>
        <w:jc w:val="right"/>
      </w:pPr>
      <w:r>
        <w:rPr>
          <w:rFonts w:ascii="Arial" w:hAnsi="Arial" w:cs="Arial" w:eastAsia="Arial"/>
          <w:lang w:val="he-IL" w:bidi="he-IL"/>
          <w:sz w:val="22"/>
          <w:rtl/>
          <w:szCs w:val="22"/>
        </w:rPr>
        <w:t>5. ב – להקשיב ולכבד</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נכון – יש ארבעה תפקידים שונים בקבוצה</w:t>
      </w:r>
    </w:p>
    <w:p>
      <w:pPr>
        <w:bidi/>
        <w:spacing w:after="40"/>
        <w:jc w:val="right"/>
      </w:pPr>
      <w:r>
        <w:rPr>
          <w:rFonts w:ascii="Arial" w:hAnsi="Arial" w:cs="Arial" w:eastAsia="Arial"/>
          <w:lang w:val="he-IL" w:bidi="he-IL"/>
          <w:sz w:val="22"/>
          <w:rtl/>
          <w:szCs w:val="22"/>
        </w:rPr>
        <w:t>2. לא נכון – חשוב לנמק בעזרת מה שלמדנו</w:t>
      </w:r>
    </w:p>
    <w:p>
      <w:pPr>
        <w:bidi/>
        <w:spacing w:after="40"/>
        <w:jc w:val="right"/>
      </w:pPr>
      <w:r>
        <w:rPr>
          <w:rFonts w:ascii="Arial" w:hAnsi="Arial" w:cs="Arial" w:eastAsia="Arial"/>
          <w:lang w:val="he-IL" w:bidi="he-IL"/>
          <w:sz w:val="22"/>
          <w:rtl/>
          <w:szCs w:val="22"/>
        </w:rPr>
        <w:t>3. לא נכון – מסכמים אוספים את הטיעונים משני הצדדים</w:t>
      </w:r>
    </w:p>
    <w:p>
      <w:pPr>
        <w:bidi/>
        <w:spacing w:after="40"/>
        <w:jc w:val="right"/>
      </w:pPr>
      <w:r>
        <w:rPr>
          <w:rFonts w:ascii="Arial" w:hAnsi="Arial" w:cs="Arial" w:eastAsia="Arial"/>
          <w:lang w:val="he-IL" w:bidi="he-IL"/>
          <w:sz w:val="22"/>
          <w:rtl/>
          <w:szCs w:val="22"/>
        </w:rPr>
        <w:t>4. נכון – יש אפשרות לעבור לקלף הבא</w:t>
      </w:r>
    </w:p>
    <w:p>
      <w:pPr>
        <w:bidi/>
        <w:pStyle w:val="Heading3"/>
        <w:spacing w:after="80"/>
        <w:jc w:val="right"/>
      </w:pPr>
      <w:r>
        <w:rPr>
          <w:rFonts w:ascii="Arial" w:hAnsi="Arial" w:cs="Arial" w:eastAsia="Arial"/>
          <w:lang w:val="he-IL" w:bidi="he-IL"/>
          <w:b/>
          <w:color w:val="3182CE"/>
          <w:sz w:val="26"/>
          <w:rtl/>
          <w:szCs w:val="26"/>
          <w:bCs/>
        </w:rPr>
        <w:t>חלק ג׳ – השלמת מילים</w:t>
      </w:r>
    </w:p>
    <w:p>
      <w:pPr>
        <w:bidi/>
        <w:spacing w:after="40"/>
        <w:jc w:val="right"/>
      </w:pPr>
      <w:r>
        <w:rPr>
          <w:rFonts w:ascii="Arial" w:hAnsi="Arial" w:cs="Arial" w:eastAsia="Arial"/>
          <w:lang w:val="he-IL" w:bidi="he-IL"/>
          <w:sz w:val="22"/>
          <w:rtl/>
          <w:szCs w:val="22"/>
        </w:rPr>
        <w:t>1. כי</w:t>
      </w:r>
    </w:p>
    <w:p>
      <w:pPr>
        <w:bidi/>
        <w:spacing w:after="40"/>
        <w:jc w:val="right"/>
      </w:pPr>
      <w:r>
        <w:rPr>
          <w:rFonts w:ascii="Arial" w:hAnsi="Arial" w:cs="Arial" w:eastAsia="Arial"/>
          <w:lang w:val="he-IL" w:bidi="he-IL"/>
          <w:sz w:val="22"/>
          <w:rtl/>
          <w:szCs w:val="22"/>
        </w:rPr>
        <w:t>2. אבל</w:t>
      </w:r>
    </w:p>
    <w:p>
      <w:pPr>
        <w:bidi/>
        <w:spacing w:after="40"/>
        <w:jc w:val="right"/>
      </w:pPr>
      <w:r>
        <w:rPr>
          <w:rFonts w:ascii="Arial" w:hAnsi="Arial" w:cs="Arial" w:eastAsia="Arial"/>
          <w:lang w:val="he-IL" w:bidi="he-IL"/>
          <w:sz w:val="22"/>
          <w:rtl/>
          <w:szCs w:val="22"/>
        </w:rPr>
        <w:t>3. נגד</w:t>
      </w:r>
    </w:p>
    <w:p>
      <w:pPr>
        <w:bidi/>
        <w:spacing w:after="40"/>
        <w:jc w:val="right"/>
      </w:pPr>
      <w:r>
        <w:rPr>
          <w:rFonts w:ascii="Arial" w:hAnsi="Arial" w:cs="Arial" w:eastAsia="Arial"/>
          <w:lang w:val="he-IL" w:bidi="he-IL"/>
          <w:sz w:val="22"/>
          <w:rtl/>
          <w:szCs w:val="22"/>
        </w:rPr>
        <w:t>4. מסכמים</w:t>
      </w:r>
    </w:p>
    <w:p>
      <w:pPr>
        <w:bidi/>
        <w:pStyle w:val="Heading3"/>
        <w:spacing w:after="80"/>
        <w:jc w:val="right"/>
      </w:pPr>
      <w:r>
        <w:rPr>
          <w:rFonts w:ascii="Arial" w:hAnsi="Arial" w:cs="Arial" w:eastAsia="Arial"/>
          <w:lang w:val="he-IL" w:bidi="he-IL"/>
          <w:b/>
          <w:color w:val="38A169"/>
          <w:sz w:val="26"/>
          <w:rtl/>
          <w:szCs w:val="26"/>
          <w:bCs/>
        </w:rPr>
        <w:t>חלק ד׳ – התאמת תפקידים</w:t>
      </w:r>
    </w:p>
    <w:p>
      <w:pPr>
        <w:bidi/>
        <w:spacing w:after="40"/>
        <w:jc w:val="right"/>
      </w:pPr>
      <w:r>
        <w:rPr>
          <w:rFonts w:ascii="Arial" w:hAnsi="Arial" w:cs="Arial" w:eastAsia="Arial"/>
          <w:lang w:val="he-IL" w:bidi="he-IL"/>
          <w:sz w:val="22"/>
          <w:rtl/>
          <w:szCs w:val="22"/>
        </w:rPr>
        <w:t>1 – ב (טוען/ת שהרעיון נכון)</w:t>
      </w:r>
    </w:p>
    <w:p>
      <w:pPr>
        <w:bidi/>
        <w:spacing w:after="40"/>
        <w:jc w:val="right"/>
      </w:pPr>
      <w:r>
        <w:rPr>
          <w:rFonts w:ascii="Arial" w:hAnsi="Arial" w:cs="Arial" w:eastAsia="Arial"/>
          <w:lang w:val="he-IL" w:bidi="he-IL"/>
          <w:sz w:val="22"/>
          <w:rtl/>
          <w:szCs w:val="22"/>
        </w:rPr>
        <w:t>2 – א (טוען/ת שהרעיון לא נכון)</w:t>
      </w:r>
    </w:p>
    <w:p>
      <w:pPr>
        <w:bidi/>
        <w:spacing w:after="40"/>
        <w:jc w:val="right"/>
      </w:pPr>
      <w:r>
        <w:rPr>
          <w:rFonts w:ascii="Arial" w:hAnsi="Arial" w:cs="Arial" w:eastAsia="Arial"/>
          <w:lang w:val="he-IL" w:bidi="he-IL"/>
          <w:sz w:val="22"/>
          <w:rtl/>
          <w:szCs w:val="22"/>
        </w:rPr>
        <w:t>3 – ד (שואלים שאלות מבהירות על הטיעונים)</w:t>
      </w:r>
    </w:p>
    <w:p>
      <w:pPr>
        <w:bidi/>
        <w:spacing w:after="40"/>
        <w:jc w:val="right"/>
      </w:pPr>
      <w:r>
        <w:rPr>
          <w:rFonts w:ascii="Arial" w:hAnsi="Arial" w:cs="Arial" w:eastAsia="Arial"/>
          <w:lang w:val="he-IL" w:bidi="he-IL"/>
          <w:sz w:val="22"/>
          <w:rtl/>
          <w:szCs w:val="22"/>
        </w:rPr>
        <w:t>4 – ג (אוספים ומציגים את עיקרי הדיון)</w:t>
      </w:r>
    </w:p>
    <w:p>
      <w:pPr>
        <w:bidi/>
        <w:pStyle w:val="Heading3"/>
        <w:spacing w:after="80"/>
        <w:jc w:val="right"/>
      </w:pPr>
      <w:r>
        <w:rPr>
          <w:rFonts w:ascii="Arial" w:hAnsi="Arial" w:cs="Arial" w:eastAsia="Arial"/>
          <w:lang w:val="he-IL" w:bidi="he-IL"/>
          <w:b/>
          <w:color w:val="805AD5"/>
          <w:sz w:val="26"/>
          <w:rtl/>
          <w:szCs w:val="26"/>
          <w:bCs/>
        </w:rPr>
        <w:t>חלק ה׳ – סדר שלבי הדיון</w:t>
      </w:r>
    </w:p>
    <w:p>
      <w:pPr>
        <w:bidi/>
        <w:spacing w:after="40"/>
        <w:jc w:val="right"/>
      </w:pPr>
      <w:r>
        <w:rPr>
          <w:rFonts w:ascii="Arial" w:hAnsi="Arial" w:cs="Arial" w:eastAsia="Arial"/>
          <w:lang w:val="he-IL" w:bidi="he-IL"/>
          <w:sz w:val="22"/>
          <w:rtl/>
          <w:szCs w:val="22"/>
        </w:rPr>
        <w:t>1. מושכים קלף דיון</w:t>
      </w:r>
    </w:p>
    <w:p>
      <w:pPr>
        <w:bidi/>
        <w:spacing w:after="40"/>
        <w:jc w:val="right"/>
      </w:pPr>
      <w:r>
        <w:rPr>
          <w:rFonts w:ascii="Arial" w:hAnsi="Arial" w:cs="Arial" w:eastAsia="Arial"/>
          <w:lang w:val="he-IL" w:bidi="he-IL"/>
          <w:sz w:val="22"/>
          <w:rtl/>
          <w:szCs w:val="22"/>
        </w:rPr>
        <w:t>2. כל אחד בקבוצה מקבל תפקיד</w:t>
      </w:r>
    </w:p>
    <w:p>
      <w:pPr>
        <w:bidi/>
        <w:spacing w:after="40"/>
        <w:jc w:val="right"/>
      </w:pPr>
      <w:r>
        <w:rPr>
          <w:rFonts w:ascii="Arial" w:hAnsi="Arial" w:cs="Arial" w:eastAsia="Arial"/>
          <w:lang w:val="he-IL" w:bidi="he-IL"/>
          <w:sz w:val="22"/>
          <w:rtl/>
          <w:szCs w:val="22"/>
        </w:rPr>
        <w:t>3. כל צד טוען לפי התפקיד שלו, תוך הקשבה וכבוד</w:t>
      </w:r>
    </w:p>
    <w:p>
      <w:pPr>
        <w:bidi/>
        <w:spacing w:after="40"/>
        <w:jc w:val="right"/>
      </w:pPr>
      <w:r>
        <w:rPr>
          <w:rFonts w:ascii="Arial" w:hAnsi="Arial" w:cs="Arial" w:eastAsia="Arial"/>
          <w:lang w:val="he-IL" w:bidi="he-IL"/>
          <w:sz w:val="22"/>
          <w:rtl/>
          <w:szCs w:val="22"/>
        </w:rPr>
        <w:t>4. המסכמים מסכמים את עיקרי הדיון</w:t>
      </w:r>
    </w:p>
    <w:p>
      <w:pPr>
        <w:bidi/>
        <w:pStyle w:val="Heading3"/>
        <w:spacing w:after="80"/>
        <w:jc w:val="right"/>
      </w:pPr>
      <w:r>
        <w:rPr>
          <w:rFonts w:ascii="Arial" w:hAnsi="Arial" w:cs="Arial" w:eastAsia="Arial"/>
          <w:lang w:val="he-IL" w:bidi="he-IL"/>
          <w:b/>
          <w:color w:val="D53F8C"/>
          <w:sz w:val="26"/>
          <w:rtl/>
          <w:szCs w:val="26"/>
          <w:bCs/>
        </w:rPr>
        <w:t>חלק ו׳ – כתיבת טיעונים</w:t>
      </w:r>
    </w:p>
    <w:p>
      <w:pPr>
        <w:bidi/>
        <w:spacing w:after="40"/>
        <w:jc w:val="right"/>
      </w:pPr>
      <w:r>
        <w:rPr>
          <w:rFonts w:ascii="Arial" w:hAnsi="Arial" w:cs="Arial" w:eastAsia="Arial"/>
          <w:lang w:val="he-IL" w:bidi="he-IL"/>
          <w:sz w:val="22"/>
          <w:rtl/>
          <w:szCs w:val="22"/>
        </w:rPr>
        <w:t>1. טיעון הגיוני המתייחס ליתרון של שיחה, כמו אפשרות לשאול שאלות</w:t>
      </w:r>
    </w:p>
    <w:p>
      <w:pPr>
        <w:bidi/>
        <w:spacing w:after="40"/>
        <w:jc w:val="right"/>
      </w:pPr>
      <w:r>
        <w:rPr>
          <w:rFonts w:ascii="Arial" w:hAnsi="Arial" w:cs="Arial" w:eastAsia="Arial"/>
          <w:lang w:val="he-IL" w:bidi="he-IL"/>
          <w:sz w:val="22"/>
          <w:rtl/>
          <w:szCs w:val="22"/>
        </w:rPr>
        <w:t>2. טיעון הגיוני המתייחס ליתרון של סרטון, כמו תמונות וקול</w:t>
      </w:r>
    </w:p>
    <w:p>
      <w:pPr>
        <w:bidi/>
        <w:spacing w:after="40"/>
        <w:jc w:val="right"/>
      </w:pPr>
      <w:r>
        <w:rPr>
          <w:rFonts w:ascii="Arial" w:hAnsi="Arial" w:cs="Arial" w:eastAsia="Arial"/>
          <w:lang w:val="he-IL" w:bidi="he-IL"/>
          <w:sz w:val="22"/>
          <w:rtl/>
          <w:szCs w:val="22"/>
        </w:rPr>
        <w:t>3. שאלה מבהירה הקשורה לשיחה או לסרטון כמקורות מידע</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בעד, נגד, שואלים, מסכמים</w:t>
      </w:r>
    </w:p>
    <w:p>
      <w:pPr>
        <w:bidi/>
        <w:spacing w:after="80"/>
        <w:jc w:val="right"/>
      </w:pPr>
      <w:r>
        <w:rPr>
          <w:rFonts w:ascii="Arial" w:hAnsi="Arial" w:cs="Arial" w:eastAsia="Arial"/>
          <w:lang w:val="he-IL" w:bidi="he-IL"/>
          <w:sz w:val="22"/>
          <w:rtl/>
          <w:szCs w:val="22"/>
        </w:rPr>
        <w:t>• למשל: 'אני חושב/ת ש... כי...'</w:t>
      </w:r>
    </w:p>
    <w:p>
      <w:pPr>
        <w:bidi/>
        <w:spacing w:after="80"/>
        <w:jc w:val="right"/>
      </w:pPr>
      <w:r>
        <w:rPr>
          <w:rFonts w:ascii="Arial" w:hAnsi="Arial" w:cs="Arial" w:eastAsia="Arial"/>
          <w:lang w:val="he-IL" w:bidi="he-IL"/>
          <w:sz w:val="22"/>
          <w:rtl/>
          <w:szCs w:val="22"/>
        </w:rPr>
        <w:t>• להקשיב, לכבד ולנמק את הדברים</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לחלק לקבוצות של ארבעה ולוודא שכל תלמיד/ה מקבל תפקיד שונה בכל סבב</w:t>
      </w:r>
    </w:p>
    <w:p>
      <w:pPr>
        <w:bidi/>
        <w:spacing w:after="80"/>
        <w:jc w:val="right"/>
      </w:pPr>
      <w:r>
        <w:rPr>
          <w:rFonts w:ascii="Arial" w:hAnsi="Arial" w:cs="Arial" w:eastAsia="Arial"/>
          <w:lang w:val="he-IL" w:bidi="he-IL"/>
          <w:sz w:val="22"/>
          <w:rtl/>
          <w:szCs w:val="22"/>
        </w:rPr>
        <w:t>• להשתמש בטיימר כדי לשמור על זמן קבוע לכל צד</w:t>
      </w:r>
    </w:p>
    <w:p>
      <w:pPr>
        <w:bidi/>
        <w:spacing w:after="80"/>
        <w:jc w:val="right"/>
      </w:pPr>
      <w:r>
        <w:rPr>
          <w:rFonts w:ascii="Arial" w:hAnsi="Arial" w:cs="Arial" w:eastAsia="Arial"/>
          <w:lang w:val="he-IL" w:bidi="he-IL"/>
          <w:sz w:val="22"/>
          <w:rtl/>
          <w:szCs w:val="22"/>
        </w:rPr>
        <w:t>• להדפיס את פותחי המשפט כעזר על השולחן בזמן הדיון</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חג הסיגד · אתר לכיתה – יסודי וחט״ב</w:t>
            </w:r>
          </w:p>
          <w:p>
            <w:pPr>
              <w:bidi/>
              <w:jc w:val="right"/>
            </w:pPr>
            <w:r>
              <w:rPr>
                <w:rFonts w:ascii="Arial" w:hAnsi="Arial" w:cs="Arial" w:eastAsia="Arial"/>
                <w:lang w:val="he-IL" w:bidi="he-IL"/>
                <w:b/>
                <w:color w:val="3C1361"/>
                <w:sz w:val="32"/>
                <w:rtl/>
                <w:szCs w:val="32"/>
                <w:bCs/>
              </w:rPr>
              <w:t>דף תרגול: קלפי דיון – חג הסיגד</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בדף זה נתרגל איך מנהלים דיון מכבד בקבוצה, מכירים את התפקידים השונים (בעד, נגד, שואלים, מסכמים) ומתרגלים לנמק טיעונים בעזרת פתיחי משפט, סביב השאלה אם עדיף ללמוד על חג משיחה עם אדם או מסרטון.</w:t>
      </w:r>
    </w:p>
    <w:p>
      <w:pPr>
        <w:bidi/>
        <w:pStyle w:val="Heading2"/>
        <w:spacing w:after="80"/>
        <w:jc w:val="right"/>
      </w:pPr>
      <w:r>
        <w:rPr>
          <w:rFonts w:ascii="Arial" w:hAnsi="Arial" w:cs="Arial" w:eastAsia="Arial"/>
          <w:lang w:val="he-IL" w:bidi="he-IL"/>
          <w:b/>
          <w:color w:val="E53E3E"/>
          <w:sz w:val="28"/>
          <w:rtl/>
          <w:szCs w:val="28"/>
          <w:bCs/>
        </w:rPr>
        <w:t>1  חלק א׳ – הבנת מבנה הדיון</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כמה תלמידים עובדים יחד בקבוצת דיון?</w:t>
      </w:r>
    </w:p>
    <w:p>
      <w:pPr>
        <w:bidi/>
        <w:spacing w:after="20"/>
        <w:jc w:val="right"/>
      </w:pPr>
      <w:r>
        <w:rPr>
          <w:rFonts w:ascii="Arial" w:hAnsi="Arial" w:cs="Arial" w:eastAsia="Arial"/>
          <w:lang w:val="he-IL" w:bidi="he-IL"/>
          <w:sz w:val="24"/>
          <w:rtl/>
          <w:szCs w:val="24"/>
        </w:rPr>
        <w:t xml:space="preserve">      ☐ א. 3</w:t>
      </w:r>
    </w:p>
    <w:p>
      <w:pPr>
        <w:bidi/>
        <w:spacing w:after="20"/>
        <w:jc w:val="right"/>
      </w:pPr>
      <w:r>
        <w:rPr>
          <w:rFonts w:ascii="Arial" w:hAnsi="Arial" w:cs="Arial" w:eastAsia="Arial"/>
          <w:lang w:val="he-IL" w:bidi="he-IL"/>
          <w:sz w:val="24"/>
          <w:rtl/>
          <w:szCs w:val="24"/>
        </w:rPr>
        <w:t xml:space="preserve">      ☐ ב. 4</w:t>
      </w:r>
    </w:p>
    <w:p>
      <w:pPr>
        <w:bidi/>
        <w:spacing w:after="20"/>
        <w:jc w:val="right"/>
      </w:pPr>
      <w:r>
        <w:rPr>
          <w:rFonts w:ascii="Arial" w:hAnsi="Arial" w:cs="Arial" w:eastAsia="Arial"/>
          <w:lang w:val="he-IL" w:bidi="he-IL"/>
          <w:sz w:val="24"/>
          <w:rtl/>
          <w:szCs w:val="24"/>
        </w:rPr>
        <w:t xml:space="preserve">      ☐ ג. 5</w:t>
      </w:r>
    </w:p>
    <w:p>
      <w:pPr>
        <w:bidi/>
        <w:spacing w:after="20"/>
        <w:jc w:val="right"/>
      </w:pPr>
      <w:r>
        <w:rPr>
          <w:rFonts w:ascii="Arial" w:hAnsi="Arial" w:cs="Arial" w:eastAsia="Arial"/>
          <w:lang w:val="he-IL" w:bidi="he-IL"/>
          <w:sz w:val="24"/>
          <w:rtl/>
          <w:szCs w:val="24"/>
        </w:rPr>
        <w:t xml:space="preserve">      ☐ ד. 6</w:t>
      </w:r>
    </w:p>
    <w:p>
      <w:pPr>
        <w:bidi/>
        <w:spacing w:after="20"/>
        <w:jc w:val="right"/>
      </w:pPr>
      <w:r>
        <w:rPr>
          <w:rFonts w:ascii="Arial" w:hAnsi="Arial" w:cs="Arial" w:eastAsia="Arial"/>
          <w:lang w:val="he-IL" w:bidi="he-IL"/>
          <w:b/>
          <w:sz w:val="24"/>
          <w:rtl/>
          <w:szCs w:val="24"/>
          <w:bCs/>
        </w:rPr>
        <w:t>2. כמה זמן יש לכל צד לטעון?</w:t>
      </w:r>
    </w:p>
    <w:p>
      <w:pPr>
        <w:bidi/>
        <w:spacing w:after="20"/>
        <w:jc w:val="right"/>
      </w:pPr>
      <w:r>
        <w:rPr>
          <w:rFonts w:ascii="Arial" w:hAnsi="Arial" w:cs="Arial" w:eastAsia="Arial"/>
          <w:lang w:val="he-IL" w:bidi="he-IL"/>
          <w:sz w:val="24"/>
          <w:rtl/>
          <w:szCs w:val="24"/>
        </w:rPr>
        <w:t xml:space="preserve">      ☐ א. 30 שניות</w:t>
      </w:r>
    </w:p>
    <w:p>
      <w:pPr>
        <w:bidi/>
        <w:spacing w:after="20"/>
        <w:jc w:val="right"/>
      </w:pPr>
      <w:r>
        <w:rPr>
          <w:rFonts w:ascii="Arial" w:hAnsi="Arial" w:cs="Arial" w:eastAsia="Arial"/>
          <w:lang w:val="he-IL" w:bidi="he-IL"/>
          <w:sz w:val="24"/>
          <w:rtl/>
          <w:szCs w:val="24"/>
        </w:rPr>
        <w:t xml:space="preserve">      ☐ ב. דקה וחצי</w:t>
      </w:r>
    </w:p>
    <w:p>
      <w:pPr>
        <w:bidi/>
        <w:spacing w:after="20"/>
        <w:jc w:val="right"/>
      </w:pPr>
      <w:r>
        <w:rPr>
          <w:rFonts w:ascii="Arial" w:hAnsi="Arial" w:cs="Arial" w:eastAsia="Arial"/>
          <w:lang w:val="he-IL" w:bidi="he-IL"/>
          <w:sz w:val="24"/>
          <w:rtl/>
          <w:szCs w:val="24"/>
        </w:rPr>
        <w:t xml:space="preserve">      ☐ ג. שלוש דקות</w:t>
      </w:r>
    </w:p>
    <w:p>
      <w:pPr>
        <w:bidi/>
        <w:spacing w:after="20"/>
        <w:jc w:val="right"/>
      </w:pPr>
      <w:r>
        <w:rPr>
          <w:rFonts w:ascii="Arial" w:hAnsi="Arial" w:cs="Arial" w:eastAsia="Arial"/>
          <w:lang w:val="he-IL" w:bidi="he-IL"/>
          <w:sz w:val="24"/>
          <w:rtl/>
          <w:szCs w:val="24"/>
        </w:rPr>
        <w:t xml:space="preserve">      ☐ ד. חמש דקות</w:t>
      </w:r>
    </w:p>
    <w:p>
      <w:pPr>
        <w:bidi/>
        <w:spacing w:after="20"/>
        <w:jc w:val="right"/>
      </w:pPr>
      <w:r>
        <w:rPr>
          <w:rFonts w:ascii="Arial" w:hAnsi="Arial" w:cs="Arial" w:eastAsia="Arial"/>
          <w:lang w:val="he-IL" w:bidi="he-IL"/>
          <w:b/>
          <w:sz w:val="24"/>
          <w:rtl/>
          <w:szCs w:val="24"/>
          <w:bCs/>
        </w:rPr>
        <w:t>3. מה התפקיד של מי שאחראי על 'שואלים'?</w:t>
      </w:r>
    </w:p>
    <w:p>
      <w:pPr>
        <w:bidi/>
        <w:spacing w:after="20"/>
        <w:jc w:val="right"/>
      </w:pPr>
      <w:r>
        <w:rPr>
          <w:rFonts w:ascii="Arial" w:hAnsi="Arial" w:cs="Arial" w:eastAsia="Arial"/>
          <w:lang w:val="he-IL" w:bidi="he-IL"/>
          <w:sz w:val="24"/>
          <w:rtl/>
          <w:szCs w:val="24"/>
        </w:rPr>
        <w:t xml:space="preserve">      ☐ א. לטעון בעד הנושא</w:t>
      </w:r>
    </w:p>
    <w:p>
      <w:pPr>
        <w:bidi/>
        <w:spacing w:after="20"/>
        <w:jc w:val="right"/>
      </w:pPr>
      <w:r>
        <w:rPr>
          <w:rFonts w:ascii="Arial" w:hAnsi="Arial" w:cs="Arial" w:eastAsia="Arial"/>
          <w:lang w:val="he-IL" w:bidi="he-IL"/>
          <w:sz w:val="24"/>
          <w:rtl/>
          <w:szCs w:val="24"/>
        </w:rPr>
        <w:t xml:space="preserve">      ☐ ב. לשאול שאלות על הטיעונים</w:t>
      </w:r>
    </w:p>
    <w:p>
      <w:pPr>
        <w:bidi/>
        <w:spacing w:after="20"/>
        <w:jc w:val="right"/>
      </w:pPr>
      <w:r>
        <w:rPr>
          <w:rFonts w:ascii="Arial" w:hAnsi="Arial" w:cs="Arial" w:eastAsia="Arial"/>
          <w:lang w:val="he-IL" w:bidi="he-IL"/>
          <w:sz w:val="24"/>
          <w:rtl/>
          <w:szCs w:val="24"/>
        </w:rPr>
        <w:t xml:space="preserve">      ☐ ג. לסכם את הדיון</w:t>
      </w:r>
    </w:p>
    <w:p>
      <w:pPr>
        <w:bidi/>
        <w:spacing w:after="20"/>
        <w:jc w:val="right"/>
      </w:pPr>
      <w:r>
        <w:rPr>
          <w:rFonts w:ascii="Arial" w:hAnsi="Arial" w:cs="Arial" w:eastAsia="Arial"/>
          <w:lang w:val="he-IL" w:bidi="he-IL"/>
          <w:sz w:val="24"/>
          <w:rtl/>
          <w:szCs w:val="24"/>
        </w:rPr>
        <w:t xml:space="preserve">      ☐ ד. להתנגד לנושא</w:t>
      </w:r>
    </w:p>
    <w:p>
      <w:pPr>
        <w:bidi/>
        <w:spacing w:after="20"/>
        <w:jc w:val="right"/>
      </w:pPr>
      <w:r>
        <w:rPr>
          <w:rFonts w:ascii="Arial" w:hAnsi="Arial" w:cs="Arial" w:eastAsia="Arial"/>
          <w:lang w:val="he-IL" w:bidi="he-IL"/>
          <w:b/>
          <w:sz w:val="24"/>
          <w:rtl/>
          <w:szCs w:val="24"/>
          <w:bCs/>
        </w:rPr>
        <w:t>4. מה הנושא לדוגמה בקלף הדיון?</w:t>
      </w:r>
    </w:p>
    <w:p>
      <w:pPr>
        <w:bidi/>
        <w:spacing w:after="20"/>
        <w:jc w:val="right"/>
      </w:pPr>
      <w:r>
        <w:rPr>
          <w:rFonts w:ascii="Arial" w:hAnsi="Arial" w:cs="Arial" w:eastAsia="Arial"/>
          <w:lang w:val="he-IL" w:bidi="he-IL"/>
          <w:sz w:val="24"/>
          <w:rtl/>
          <w:szCs w:val="24"/>
        </w:rPr>
        <w:t xml:space="preserve">      ☐ א. האם כדאי לחגוג את חג הסיגד</w:t>
      </w:r>
    </w:p>
    <w:p>
      <w:pPr>
        <w:bidi/>
        <w:spacing w:after="20"/>
        <w:jc w:val="right"/>
      </w:pPr>
      <w:r>
        <w:rPr>
          <w:rFonts w:ascii="Arial" w:hAnsi="Arial" w:cs="Arial" w:eastAsia="Arial"/>
          <w:lang w:val="he-IL" w:bidi="he-IL"/>
          <w:sz w:val="24"/>
          <w:rtl/>
          <w:szCs w:val="24"/>
        </w:rPr>
        <w:t xml:space="preserve">      ☐ ב. עדיף ללמוד על חג משיחה עם אדם מאשר מסרטון</w:t>
      </w:r>
    </w:p>
    <w:p>
      <w:pPr>
        <w:bidi/>
        <w:spacing w:after="20"/>
        <w:jc w:val="right"/>
      </w:pPr>
      <w:r>
        <w:rPr>
          <w:rFonts w:ascii="Arial" w:hAnsi="Arial" w:cs="Arial" w:eastAsia="Arial"/>
          <w:lang w:val="he-IL" w:bidi="he-IL"/>
          <w:sz w:val="24"/>
          <w:rtl/>
          <w:szCs w:val="24"/>
        </w:rPr>
        <w:t xml:space="preserve">      ☐ ג. איזה סרטון הכי מעניין</w:t>
      </w:r>
    </w:p>
    <w:p>
      <w:pPr>
        <w:bidi/>
        <w:spacing w:after="20"/>
        <w:jc w:val="right"/>
      </w:pPr>
      <w:r>
        <w:rPr>
          <w:rFonts w:ascii="Arial" w:hAnsi="Arial" w:cs="Arial" w:eastAsia="Arial"/>
          <w:lang w:val="he-IL" w:bidi="he-IL"/>
          <w:sz w:val="24"/>
          <w:rtl/>
          <w:szCs w:val="24"/>
        </w:rPr>
        <w:t xml:space="preserve">      ☐ ד. מי צריך לנהל את הדיון</w:t>
      </w:r>
    </w:p>
    <w:p>
      <w:pPr>
        <w:bidi/>
        <w:spacing w:after="20"/>
        <w:jc w:val="right"/>
      </w:pPr>
      <w:r>
        <w:rPr>
          <w:rFonts w:ascii="Arial" w:hAnsi="Arial" w:cs="Arial" w:eastAsia="Arial"/>
          <w:lang w:val="he-IL" w:bidi="he-IL"/>
          <w:b/>
          <w:sz w:val="24"/>
          <w:rtl/>
          <w:szCs w:val="24"/>
          <w:bCs/>
        </w:rPr>
        <w:t>5. מה חשוב לעשות כשחבר אחר בקבוצה מדבר?</w:t>
      </w:r>
    </w:p>
    <w:p>
      <w:pPr>
        <w:bidi/>
        <w:spacing w:after="20"/>
        <w:jc w:val="right"/>
      </w:pPr>
      <w:r>
        <w:rPr>
          <w:rFonts w:ascii="Arial" w:hAnsi="Arial" w:cs="Arial" w:eastAsia="Arial"/>
          <w:lang w:val="he-IL" w:bidi="he-IL"/>
          <w:sz w:val="24"/>
          <w:rtl/>
          <w:szCs w:val="24"/>
        </w:rPr>
        <w:t xml:space="preserve">      ☐ א. להכין את הטיעון הבא</w:t>
      </w:r>
    </w:p>
    <w:p>
      <w:pPr>
        <w:bidi/>
        <w:spacing w:after="20"/>
        <w:jc w:val="right"/>
      </w:pPr>
      <w:r>
        <w:rPr>
          <w:rFonts w:ascii="Arial" w:hAnsi="Arial" w:cs="Arial" w:eastAsia="Arial"/>
          <w:lang w:val="he-IL" w:bidi="he-IL"/>
          <w:sz w:val="24"/>
          <w:rtl/>
          <w:szCs w:val="24"/>
        </w:rPr>
        <w:t xml:space="preserve">      ☐ ב. להקשיב ולכבד</w:t>
      </w:r>
    </w:p>
    <w:p>
      <w:pPr>
        <w:bidi/>
        <w:spacing w:after="20"/>
        <w:jc w:val="right"/>
      </w:pPr>
      <w:r>
        <w:rPr>
          <w:rFonts w:ascii="Arial" w:hAnsi="Arial" w:cs="Arial" w:eastAsia="Arial"/>
          <w:lang w:val="he-IL" w:bidi="he-IL"/>
          <w:sz w:val="24"/>
          <w:rtl/>
          <w:szCs w:val="24"/>
        </w:rPr>
        <w:t xml:space="preserve">      ☐ ג. לצאת מהקבוצה</w:t>
      </w:r>
    </w:p>
    <w:p>
      <w:pPr>
        <w:bidi/>
        <w:spacing w:after="20"/>
        <w:jc w:val="right"/>
      </w:pPr>
      <w:r>
        <w:rPr>
          <w:rFonts w:ascii="Arial" w:hAnsi="Arial" w:cs="Arial" w:eastAsia="Arial"/>
          <w:lang w:val="he-IL" w:bidi="he-IL"/>
          <w:sz w:val="24"/>
          <w:rtl/>
          <w:szCs w:val="24"/>
        </w:rPr>
        <w:t xml:space="preserve">      ☐ ד. לדבר ביחד איתו</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בקבוצת דיון כל אחד מקבל תפקיד אחר.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אפשר לנמק טיעון בלי להישען על מה שלמדנו.</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תפקיד 'מסכמים' הוא לטעון נגד הנושא.</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אפשר למשוך קלף נוסף ולהמשיך לקלף הבא.</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השלמת מילים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פותח משפט לטיעון: 'אני חושב/ת ש... __________'</w:t>
      </w:r>
    </w:p>
    <w:p>
      <w:pPr>
        <w:bidi/>
        <w:spacing w:after="80"/>
        <w:jc w:val="right"/>
      </w:pPr>
      <w:r>
        <w:rPr>
          <w:rFonts w:ascii="Arial" w:hAnsi="Arial" w:cs="Arial" w:eastAsia="Arial"/>
          <w:lang w:val="he-IL" w:bidi="he-IL"/>
          <w:sz w:val="24"/>
          <w:rtl/>
          <w:szCs w:val="24"/>
        </w:rPr>
        <w:t>2. פותח משפט לטיעון: 'אמנם... __________'</w:t>
      </w:r>
    </w:p>
    <w:p>
      <w:pPr>
        <w:bidi/>
        <w:spacing w:after="80"/>
        <w:jc w:val="right"/>
      </w:pPr>
      <w:r>
        <w:rPr>
          <w:rFonts w:ascii="Arial" w:hAnsi="Arial" w:cs="Arial" w:eastAsia="Arial"/>
          <w:lang w:val="he-IL" w:bidi="he-IL"/>
          <w:sz w:val="24"/>
          <w:rtl/>
          <w:szCs w:val="24"/>
        </w:rPr>
        <w:t>3. מי שתפקידו/ה __________ מנסה לשכנע שהרעיון לא נכון.</w:t>
      </w:r>
    </w:p>
    <w:p>
      <w:pPr>
        <w:bidi/>
        <w:spacing w:after="80"/>
        <w:jc w:val="right"/>
      </w:pPr>
      <w:r>
        <w:rPr>
          <w:rFonts w:ascii="Arial" w:hAnsi="Arial" w:cs="Arial" w:eastAsia="Arial"/>
          <w:lang w:val="he-IL" w:bidi="he-IL"/>
          <w:sz w:val="24"/>
          <w:rtl/>
          <w:szCs w:val="24"/>
        </w:rPr>
        <w:t>4. בסוף הדיון, ה__________ אוספים את כל הטיעונים ומציגים אותם.</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התאמת תפקידים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בעד</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טוען/ת שהרעיון לא נכון</w:t>
            </w:r>
          </w:p>
        </w:tc>
      </w:tr>
      <w:tr>
        <w:tc>
          <w:tcPr>
            <w:tcW w:type="dxa" w:w="3969"/>
          </w:tcPr>
          <w:p>
            <w:pPr>
              <w:bidi/>
              <w:jc w:val="right"/>
            </w:pPr>
            <w:r>
              <w:rPr>
                <w:rFonts w:ascii="Arial" w:hAnsi="Arial" w:cs="Arial" w:eastAsia="Arial"/>
                <w:lang w:val="he-IL" w:bidi="he-IL"/>
                <w:sz w:val="24"/>
                <w:rtl/>
                <w:szCs w:val="24"/>
              </w:rPr>
              <w:t>2. נגד</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טוען/ת שהרעיון נכון</w:t>
            </w:r>
          </w:p>
        </w:tc>
      </w:tr>
      <w:tr>
        <w:tc>
          <w:tcPr>
            <w:tcW w:type="dxa" w:w="3969"/>
          </w:tcPr>
          <w:p>
            <w:pPr>
              <w:bidi/>
              <w:jc w:val="right"/>
            </w:pPr>
            <w:r>
              <w:rPr>
                <w:rFonts w:ascii="Arial" w:hAnsi="Arial" w:cs="Arial" w:eastAsia="Arial"/>
                <w:lang w:val="he-IL" w:bidi="he-IL"/>
                <w:sz w:val="24"/>
                <w:rtl/>
                <w:szCs w:val="24"/>
              </w:rPr>
              <w:t>3. שואלים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אוספים ומציגים את עיקרי הדיון</w:t>
            </w:r>
          </w:p>
        </w:tc>
      </w:tr>
      <w:tr>
        <w:tc>
          <w:tcPr>
            <w:tcW w:type="dxa" w:w="3969"/>
          </w:tcPr>
          <w:p>
            <w:pPr>
              <w:bidi/>
              <w:jc w:val="right"/>
            </w:pPr>
            <w:r>
              <w:rPr>
                <w:rFonts w:ascii="Arial" w:hAnsi="Arial" w:cs="Arial" w:eastAsia="Arial"/>
                <w:lang w:val="he-IL" w:bidi="he-IL"/>
                <w:sz w:val="24"/>
                <w:rtl/>
                <w:szCs w:val="24"/>
              </w:rPr>
              <w:t>4. מסכמים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שואלים שאלות מבהירות על הטיעונים</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סדר שלבי הדיון</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המסכמים מסכמים את עיקרי הדיון</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כל צד טוען לפי התפקיד שלו, תוך הקשבה וכבוד</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כל אחד בקבוצה מקבל תפקיד</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מושכים קלף דיון</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כתיבת טיעונים</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כתבו טיעון אחד בעד הרעיון שעדיף ללמוד על חג משיחה עם אדם.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כתבו טיעון אחד נגד הרעיון, כלומר בעד למידה מסרטון.</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כתבו שאלה אחת ששואל/ת היה שואל/ת כדי להבין טוב יותר את הנושא.</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מהם ארבעת התפקידים בדיון קבוצתי?</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כתבו פותח משפט אחד שאפשר להשתמש בו כשטוענים.</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מה חשוב לזכור כלפי חברי הקבוצה בזמן הדיון?</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קלפי דיון – חג הסיגד</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